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160"/>
        <w:rPr/>
      </w:pPr>
      <w:bookmarkStart w:id="0" w:name="_Toc131594871"/>
      <w:bookmarkStart w:id="1" w:name="_Toc131582758"/>
      <w:bookmarkStart w:id="2" w:name="_Toc116572481"/>
      <w:bookmarkEnd w:id="2"/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660650"/>
            <wp:effectExtent l="0" t="0" r="0" b="0"/>
            <wp:wrapNone/>
            <wp:docPr id="1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de-DE"/>
        </w:rPr>
        <w:t>Fragebogen:</w:t>
      </w:r>
      <w:r>
        <w:rPr/>
        <w:t xml:space="preserve"> </w:t>
      </w:r>
      <w:bookmarkEnd w:id="0"/>
      <w:bookmarkEnd w:id="1"/>
      <w:r>
        <w:rPr/>
        <w:t xml:space="preserve">Allgemeine Unterrichtsqualität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160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Verständnisorientierung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erklären so, dass ich es verstehen kann.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 in Ihrem Unterricht, was ich lernen soll.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wie ich die Aufgaben bearbeiten soll.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Ermittlung von Denkweisen und Vorstellungen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fragen uns, was wir zu einem neuen Thema schon wissen.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Wir können unsere Ideen zu einer Aufgabe vorstellen.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fragen nach, was wir verstanden haben und was noch nicht.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Herausfordernde Fragen und Aufgaben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bekomme ich Aufgaben, über die ich ganz genau nachdenken muss.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das Gelernte für neue Aufgaben nutzen.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Beim Bearbeiten von Aufgaben kann ich eigene Lösungswege nutzen.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soll häufig ganz genau erklären, wie ich etwas meine.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Förderung selbstregulierten Lernens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Wir überlegen häufig gemeinsam, wie wir Aufgaben lösen können.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Wir sollen beim Arbeiten immer wieder überprüfen, ob wir noch bei der Sache sind.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Nachdem wir Aufgaben bearbeitet haben, überprüfen wir, ob wir alles verstanden haben.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Alltagsbezug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erklären, warum es wichtig ist, das zu lernen.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lerne ich etwas, das für mich wichtig ist.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lerne ich etwas, was im Alltag nützlich ist.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145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Qualität des Feedbacks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erklären uns, was wir noch besser machen können.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sagen uns, was wir gut gemacht haben.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machen uns Mut, wenn wir etwas nicht gleich verstehen.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merke in Ihrem Unterricht, dass man aus Fehlern lernen kann.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Individuelle Unterstützung im Lernprozess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nehmen sich Zeit, um uns Dinge zu erklären, die wir nicht verstanden haben.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bemühen sich, dass alle im Unterricht mitkommen.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haben oft mehrere gute Erklärungswege.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Wertschätzung und Respekt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respektieren Vorschläge von Schülerinnen und Schülern.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habe den Eindruck, dass Sie mich ernst nehmen.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gehe ich gerne in den Unterricht.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habe das Gefühl, dass Sie mir aufmerksam zuhören.</w:t>
              <w:br/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76"/>
        <w:gridCol w:w="667"/>
        <w:gridCol w:w="667"/>
        <w:gridCol w:w="667"/>
        <w:gridCol w:w="667"/>
        <w:gridCol w:w="668"/>
      </w:tblGrid>
      <w:tr>
        <w:trPr>
          <w:trHeight w:val="2205" w:hRule="atLeast"/>
          <w:cantSplit w:val="true"/>
        </w:trPr>
        <w:tc>
          <w:tcPr>
            <w:tcW w:w="657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Strukturierte Klassenführung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67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Monitoring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habe das Gefühl, Sie wissen zu jeder Zeit, was wir tun.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merken, wenn jemand nicht mitarbeitet.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gehen mit Störungen angemessen um.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Sie sorgen dafür, dass sich alle an Regeln halten.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Nutzung der Lernzeit</w:t>
            </w:r>
            <w:bookmarkStart w:id="3" w:name="_GoBack"/>
            <w:bookmarkEnd w:id="3"/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Die Unterrichtsstunde beginnt und endet pünktlich.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Uns geht wenig Lernzeit durch andere Dinge verloren.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Bei Ihnen fangen zu Beginn der Stunde alle schnell an zu arbeiten.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finde den Ablauf ihrer Unterrichtsstunden sinnvoll.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9912" w:type="dxa"/>
            <w:gridSpan w:val="6"/>
            <w:tcBorders/>
            <w:shd w:color="auto" w:fill="9CC2E5" w:themeFill="accent1" w:themeFillTint="99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Störungen durch Schülerinnen und Schüler</w:t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Die Lautstärke ist angemessen.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Die Schülerinnen und Schüler halten sich an Regeln.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57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Microsoft YaHe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kommt nur selten zu Störungen.</w:t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7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venirNext LT Pro Regular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3</w:t>
        </w:r>
        <w:r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3</w:t>
        </w:r>
        <w:r>
          <w:rPr>
            <w:b/>
            <w:color w:val="00306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1fdb"/>
    <w:pPr>
      <w:widowControl/>
      <w:bidi w:val="0"/>
      <w:spacing w:lineRule="auto" w:line="259" w:before="0" w:after="120"/>
      <w:jc w:val="start"/>
    </w:pPr>
    <w:rPr>
      <w:rFonts w:ascii="AvenirNext LT Pro Regular" w:hAnsi="AvenirNext LT Pro Regular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9461ff"/>
    <w:pPr>
      <w:keepNext w:val="true"/>
      <w:keepLines/>
      <w:spacing w:lineRule="auto" w:line="257" w:before="0" w:after="2760"/>
      <w:outlineLvl w:val="0"/>
    </w:pPr>
    <w:rPr>
      <w:rFonts w:eastAsia="" w:cs="" w:cstheme="majorBidi" w:eastAsiaTheme="majorEastAsia"/>
      <w:color w:themeColor="background1" w:val="FFFFFF"/>
      <w:sz w:val="44"/>
      <w:szCs w:val="32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9461ff"/>
    <w:pPr>
      <w:keepNext w:val="true"/>
      <w:keepLines/>
      <w:spacing w:lineRule="auto" w:line="257"/>
      <w:outlineLvl w:val="1"/>
    </w:pPr>
    <w:rPr>
      <w:rFonts w:eastAsia="" w:cs="" w:cstheme="majorBidi" w:eastAsiaTheme="majorEastAsia"/>
      <w:color w:val="008CCE"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themeColor="background1" w:val="FFFFFF"/>
      <w:sz w:val="44"/>
      <w:szCs w:val="32"/>
    </w:rPr>
  </w:style>
  <w:style w:type="character" w:styleId="berschrift2Zchn" w:customStyle="1">
    <w:name w:val="Überschrift 2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val="008CCE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6d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47316d"/>
    <w:rPr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7316d"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FuzeileZchn" w:customStyle="1">
    <w:name w:val="Fuß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00776"/>
    <w:rPr>
      <w:rFonts w:ascii="AvenirNext LT Pro Regular" w:hAnsi="AvenirNext LT Pro Regular"/>
      <w:b/>
      <w:bCs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5007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sid w:val="00992622"/>
    <w:rPr>
      <w:color w:val="008CC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ff"/>
    <w:pPr>
      <w:spacing w:lineRule="auto" w:line="257" w:before="0" w:after="120"/>
      <w:ind w:start="720"/>
      <w:contextualSpacing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rsid w:val="0047316d"/>
    <w:pPr>
      <w:spacing w:lineRule="auto" w:line="240" w:before="0" w:after="160"/>
    </w:pPr>
    <w:rPr>
      <w:rFonts w:ascii="Calibri" w:hAnsi="Calibri" w:asciiTheme="minorHAnsi" w:hAnsiTheme="minorHAnsi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731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500776"/>
    <w:pPr>
      <w:spacing w:before="0" w:after="120"/>
    </w:pPr>
    <w:rPr>
      <w:rFonts w:ascii="AvenirNext LT Pro Regular" w:hAnsi="AvenirNext LT Pro Regular"/>
      <w:b/>
      <w:bCs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500776"/>
    <w:pPr>
      <w:spacing w:lineRule="auto" w:line="240" w:before="0" w:after="0"/>
    </w:pPr>
    <w:rPr>
      <w:szCs w:val="20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F4BF-7684-499A-BFB2-AFD1CEAA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LibreOffice/25.8.4.2$Windows_X86_64 LibreOffice_project/290daaa01b999472f0c7a3890eb6a550fd74c6df</Application>
  <AppVersion>15.0000</AppVersion>
  <Pages>3</Pages>
  <Words>443</Words>
  <Characters>2521</Characters>
  <CharactersWithSpaces>2898</CharactersWithSpaces>
  <Paragraphs>69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2025-07-28T08:58:00Z</dcterms:created>
  <dc:creator>Krille, Dr. Claudia (IQSH)</dc:creator>
  <dc:description/>
  <dc:language>de-DE</dc:language>
  <cp:lastModifiedBy>Torsten Hardt</cp:lastModifiedBy>
  <cp:lastPrinted>2025-02-17T06:56:00Z</cp:lastPrinted>
  <dcterms:modified xsi:type="dcterms:W3CDTF">2026-03-24T09:43:16Z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